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DE" w:rsidRDefault="00964751" w:rsidP="00735ADE">
      <w:pPr>
        <w:ind w:left="5760" w:right="-846"/>
        <w:jc w:val="both"/>
      </w:pPr>
      <w:r>
        <w:t>Rokiškio</w:t>
      </w:r>
      <w:r w:rsidRPr="00F91082">
        <w:t xml:space="preserve"> rajono savivaldybės </w:t>
      </w:r>
    </w:p>
    <w:p w:rsidR="00735ADE" w:rsidRDefault="00964751" w:rsidP="00735ADE">
      <w:pPr>
        <w:ind w:left="5760" w:right="-846"/>
        <w:jc w:val="both"/>
      </w:pPr>
      <w:r w:rsidRPr="00F91082">
        <w:t xml:space="preserve">neformaliojo vaikų </w:t>
      </w:r>
      <w:r>
        <w:t>švietimo ir jo teikėjų</w:t>
      </w:r>
    </w:p>
    <w:p w:rsidR="00735ADE" w:rsidRDefault="00964751" w:rsidP="00735ADE">
      <w:pPr>
        <w:ind w:left="5760" w:right="-846"/>
        <w:jc w:val="both"/>
      </w:pPr>
      <w:r>
        <w:t xml:space="preserve">veiklos kokybės užtikrinimo tvarkos aprašo </w:t>
      </w:r>
    </w:p>
    <w:p w:rsidR="00964751" w:rsidRDefault="00964751" w:rsidP="00735ADE">
      <w:pPr>
        <w:ind w:left="5760" w:right="-846"/>
        <w:jc w:val="both"/>
      </w:pPr>
      <w:r>
        <w:t>3</w:t>
      </w:r>
      <w:r w:rsidRPr="00BF6ED7">
        <w:t xml:space="preserve"> priedas</w:t>
      </w:r>
    </w:p>
    <w:p w:rsidR="00964751" w:rsidRDefault="00964751" w:rsidP="00964751">
      <w:pPr>
        <w:jc w:val="center"/>
        <w:rPr>
          <w:b/>
          <w:color w:val="000000"/>
          <w:lang w:eastAsia="lt-LT"/>
        </w:rPr>
      </w:pPr>
    </w:p>
    <w:p w:rsidR="00964751" w:rsidRDefault="00964751" w:rsidP="00964751">
      <w:pPr>
        <w:jc w:val="center"/>
        <w:rPr>
          <w:b/>
          <w:color w:val="000000"/>
          <w:lang w:eastAsia="lt-LT"/>
        </w:rPr>
      </w:pPr>
      <w:r>
        <w:rPr>
          <w:b/>
          <w:color w:val="000000"/>
          <w:lang w:eastAsia="lt-LT"/>
        </w:rPr>
        <w:t xml:space="preserve">NEFORMALIOJO VAIKŲ ŠVIETIMO KOKYBĖS </w:t>
      </w:r>
    </w:p>
    <w:p w:rsidR="00964751" w:rsidRDefault="00964751" w:rsidP="00964751">
      <w:pPr>
        <w:rPr>
          <w:sz w:val="6"/>
          <w:szCs w:val="6"/>
        </w:rPr>
      </w:pPr>
    </w:p>
    <w:p w:rsidR="00964751" w:rsidRDefault="00964751" w:rsidP="00964751">
      <w:pPr>
        <w:jc w:val="center"/>
        <w:rPr>
          <w:b/>
          <w:color w:val="000000"/>
          <w:lang w:eastAsia="lt-LT"/>
        </w:rPr>
      </w:pPr>
      <w:r>
        <w:rPr>
          <w:b/>
          <w:color w:val="000000"/>
          <w:lang w:eastAsia="lt-LT"/>
        </w:rPr>
        <w:t>IŠORĖS VERTINTOJŲ ETIKOS PRINCIPAI</w:t>
      </w:r>
    </w:p>
    <w:p w:rsidR="00964751" w:rsidRDefault="00964751" w:rsidP="00964751">
      <w:pPr>
        <w:rPr>
          <w:sz w:val="6"/>
          <w:szCs w:val="6"/>
        </w:rPr>
      </w:pPr>
    </w:p>
    <w:p w:rsidR="00964751" w:rsidRDefault="00964751" w:rsidP="00964751">
      <w:pPr>
        <w:jc w:val="center"/>
        <w:rPr>
          <w:rFonts w:cs="Calibri"/>
          <w:color w:val="000000"/>
          <w:lang w:eastAsia="lt-LT"/>
        </w:rPr>
      </w:pPr>
    </w:p>
    <w:p w:rsidR="00964751" w:rsidRDefault="00964751" w:rsidP="00964751">
      <w:pPr>
        <w:rPr>
          <w:sz w:val="6"/>
          <w:szCs w:val="6"/>
        </w:rPr>
      </w:pPr>
    </w:p>
    <w:p w:rsidR="00964751" w:rsidRDefault="008425C3" w:rsidP="00975A5A">
      <w:pPr>
        <w:pStyle w:val="Betarp"/>
        <w:tabs>
          <w:tab w:val="left" w:pos="851"/>
        </w:tabs>
        <w:ind w:right="-846"/>
        <w:jc w:val="both"/>
        <w:rPr>
          <w:lang w:eastAsia="lt-LT"/>
        </w:rPr>
      </w:pPr>
      <w:r>
        <w:rPr>
          <w:lang w:eastAsia="lt-LT"/>
        </w:rPr>
        <w:tab/>
      </w:r>
      <w:r w:rsidR="00964751">
        <w:rPr>
          <w:lang w:eastAsia="lt-LT"/>
        </w:rPr>
        <w:t xml:space="preserve">1. Išorės vertintojai savo pareigas atlieka sąžiningai, savo vertinimus grindžia faktais, vengia nepagrįsto faktų interpretavimo. </w:t>
      </w:r>
    </w:p>
    <w:p w:rsidR="00964751" w:rsidRDefault="008425C3" w:rsidP="00975A5A">
      <w:pPr>
        <w:pStyle w:val="Betarp"/>
        <w:tabs>
          <w:tab w:val="left" w:pos="851"/>
        </w:tabs>
        <w:ind w:right="-846"/>
        <w:jc w:val="both"/>
        <w:rPr>
          <w:lang w:eastAsia="lt-LT"/>
        </w:rPr>
      </w:pPr>
      <w:r>
        <w:rPr>
          <w:lang w:eastAsia="lt-LT"/>
        </w:rPr>
        <w:tab/>
      </w:r>
      <w:r w:rsidR="00964751">
        <w:rPr>
          <w:lang w:eastAsia="lt-LT"/>
        </w:rPr>
        <w:t>2. Išorės vertintojai nešališki ir objektyvūs, jų vertinimo ataskaitoje pateikiamos tiek stipriosios, tiek silpnosios vertinamo NVŠ teikėjo pusės.</w:t>
      </w:r>
    </w:p>
    <w:p w:rsidR="00964751" w:rsidRDefault="008425C3" w:rsidP="00975A5A">
      <w:pPr>
        <w:pStyle w:val="Betarp"/>
        <w:tabs>
          <w:tab w:val="left" w:pos="851"/>
        </w:tabs>
        <w:ind w:right="-846"/>
        <w:jc w:val="both"/>
        <w:rPr>
          <w:lang w:eastAsia="lt-LT"/>
        </w:rPr>
      </w:pPr>
      <w:r>
        <w:rPr>
          <w:lang w:eastAsia="lt-LT"/>
        </w:rPr>
        <w:tab/>
      </w:r>
      <w:r w:rsidR="00964751">
        <w:rPr>
          <w:lang w:eastAsia="lt-LT"/>
        </w:rPr>
        <w:t xml:space="preserve">3. Išorės vertintojai nėra ugdymo proceso dalyviai. </w:t>
      </w:r>
    </w:p>
    <w:p w:rsidR="00964751" w:rsidRDefault="008425C3" w:rsidP="00587988">
      <w:pPr>
        <w:pStyle w:val="Betarp"/>
        <w:tabs>
          <w:tab w:val="left" w:pos="851"/>
        </w:tabs>
        <w:ind w:right="-846"/>
        <w:jc w:val="both"/>
        <w:rPr>
          <w:lang w:eastAsia="lt-LT"/>
        </w:rPr>
      </w:pPr>
      <w:r>
        <w:rPr>
          <w:lang w:eastAsia="lt-LT"/>
        </w:rPr>
        <w:tab/>
      </w:r>
      <w:r w:rsidR="00964751">
        <w:rPr>
          <w:lang w:eastAsia="lt-LT"/>
        </w:rPr>
        <w:t xml:space="preserve">4. Išorės vertintojų priimti, užfiksuoti ir ataskaitoje pateikti vertinimai priimami kolektyviai, </w:t>
      </w:r>
      <w:bookmarkStart w:id="0" w:name="_GoBack"/>
      <w:bookmarkEnd w:id="0"/>
      <w:r w:rsidR="00964751">
        <w:rPr>
          <w:lang w:eastAsia="lt-LT"/>
        </w:rPr>
        <w:t>bendrai susitarus, neišskiriant kurio nors vieno nario nuomonės.</w:t>
      </w:r>
    </w:p>
    <w:p w:rsidR="00964751" w:rsidRDefault="008425C3" w:rsidP="00975A5A">
      <w:pPr>
        <w:pStyle w:val="Betarp"/>
        <w:tabs>
          <w:tab w:val="left" w:pos="851"/>
        </w:tabs>
        <w:ind w:right="-846"/>
        <w:jc w:val="both"/>
        <w:rPr>
          <w:lang w:eastAsia="lt-LT"/>
        </w:rPr>
      </w:pPr>
      <w:r>
        <w:rPr>
          <w:lang w:eastAsia="lt-LT"/>
        </w:rPr>
        <w:tab/>
      </w:r>
      <w:r w:rsidR="00964751">
        <w:rPr>
          <w:lang w:eastAsia="lt-LT"/>
        </w:rPr>
        <w:t>5. Išorės vertintojai išlaiko pagarbą žmogui ir jo pasirinkimams religiniais, rasiniais, nacionaliniais, socialinės padėties ir kitais panašiais klausimais; susilaiko nuo savo nuomonės reiškimo viešai apie konkrečių NVŠ teikėjų išorinio vertinimo eigą ir rezultatus.</w:t>
      </w:r>
    </w:p>
    <w:p w:rsidR="00964751" w:rsidRDefault="008425C3" w:rsidP="00975A5A">
      <w:pPr>
        <w:pStyle w:val="Betarp"/>
        <w:tabs>
          <w:tab w:val="left" w:pos="851"/>
        </w:tabs>
        <w:ind w:right="-846"/>
        <w:jc w:val="both"/>
        <w:rPr>
          <w:lang w:eastAsia="lt-LT"/>
        </w:rPr>
      </w:pPr>
      <w:r>
        <w:rPr>
          <w:lang w:eastAsia="lt-LT"/>
        </w:rPr>
        <w:tab/>
      </w:r>
      <w:r w:rsidR="00964751">
        <w:rPr>
          <w:lang w:eastAsia="lt-LT"/>
        </w:rPr>
        <w:t>6. Išorės vertintojai vengia viešų ir privačių interesų konflikto, neatstovauja savo, savo šeimos, giminaičių, draugų ir kitų asmenų interesams, vertindami konkretų NVŠ teikėją. Jei dėl išorės vertintojų ir vertinamo NVŠ teikėjo buvusios ar esamos veiklos galimas interesų konfliktas, jie privalo nurodyti savo ir asmenų, susijusių su jais santuokos, artimosios giminystės ryšiais, interesus ir atvejus.</w:t>
      </w:r>
    </w:p>
    <w:p w:rsidR="00964751" w:rsidRDefault="008425C3" w:rsidP="00975A5A">
      <w:pPr>
        <w:pStyle w:val="Betarp"/>
        <w:tabs>
          <w:tab w:val="left" w:pos="851"/>
        </w:tabs>
        <w:ind w:right="-846"/>
        <w:jc w:val="both"/>
        <w:rPr>
          <w:lang w:eastAsia="lt-LT"/>
        </w:rPr>
      </w:pPr>
      <w:r>
        <w:tab/>
        <w:t>7.</w:t>
      </w:r>
      <w:r w:rsidR="00BC3A6F">
        <w:t xml:space="preserve"> </w:t>
      </w:r>
      <w:r w:rsidR="00964751" w:rsidRPr="008425C3">
        <w:t>Išorės</w:t>
      </w:r>
      <w:r w:rsidR="00964751">
        <w:rPr>
          <w:lang w:eastAsia="lt-LT"/>
        </w:rPr>
        <w:t xml:space="preserve"> vertintojai pirmiausia paiso vertinamo NVŠ teikėjo interesų ir stengiasi sumažinti išorinio vertinimo proceso sukeliamą įtampą. </w:t>
      </w:r>
    </w:p>
    <w:p w:rsidR="00964751" w:rsidRDefault="00BC3A6F" w:rsidP="00975A5A">
      <w:pPr>
        <w:pStyle w:val="Betarp"/>
        <w:tabs>
          <w:tab w:val="left" w:pos="851"/>
        </w:tabs>
        <w:ind w:right="-846"/>
        <w:jc w:val="both"/>
        <w:rPr>
          <w:lang w:eastAsia="lt-LT"/>
        </w:rPr>
      </w:pPr>
      <w:r>
        <w:rPr>
          <w:lang w:eastAsia="lt-LT"/>
        </w:rPr>
        <w:tab/>
      </w:r>
      <w:r w:rsidR="008425C3">
        <w:rPr>
          <w:lang w:eastAsia="lt-LT"/>
        </w:rPr>
        <w:t>8.</w:t>
      </w:r>
      <w:r>
        <w:rPr>
          <w:lang w:eastAsia="lt-LT"/>
        </w:rPr>
        <w:t xml:space="preserve"> </w:t>
      </w:r>
      <w:r w:rsidR="00964751">
        <w:rPr>
          <w:lang w:eastAsia="lt-LT"/>
        </w:rPr>
        <w:t xml:space="preserve">Išorės vertintojai saugo visų duomenų konfidencialumą, o visą vertinimo metu gautą medžiagą ir informaciją naudoja tik vertinimo tikslais ir neskleidžia jos nei vertinamo NVŠ teikėjo atstovams, nei kitiems suinteresuotiems asmenims. </w:t>
      </w:r>
    </w:p>
    <w:p w:rsidR="00964751" w:rsidRDefault="00BC3A6F" w:rsidP="00975A5A">
      <w:pPr>
        <w:pStyle w:val="Betarp"/>
        <w:tabs>
          <w:tab w:val="left" w:pos="851"/>
        </w:tabs>
        <w:ind w:right="-846"/>
        <w:jc w:val="both"/>
        <w:rPr>
          <w:lang w:eastAsia="lt-LT"/>
        </w:rPr>
      </w:pPr>
      <w:r>
        <w:rPr>
          <w:lang w:eastAsia="lt-LT"/>
        </w:rPr>
        <w:tab/>
      </w:r>
      <w:r w:rsidR="008425C3">
        <w:rPr>
          <w:lang w:eastAsia="lt-LT"/>
        </w:rPr>
        <w:t>9.</w:t>
      </w:r>
      <w:r>
        <w:rPr>
          <w:lang w:eastAsia="lt-LT"/>
        </w:rPr>
        <w:t xml:space="preserve"> </w:t>
      </w:r>
      <w:r w:rsidR="00964751">
        <w:rPr>
          <w:lang w:eastAsia="lt-LT"/>
        </w:rPr>
        <w:t xml:space="preserve">Išorės vertintojai negali priimti dovanų ir kitokių prielankumo ženklų ar paslaugų, jeigu tai daroma siekiant paveikti išorinio vertinimo rezultatus. </w:t>
      </w:r>
    </w:p>
    <w:p w:rsidR="00964751" w:rsidRDefault="00964751" w:rsidP="00975A5A">
      <w:pPr>
        <w:pStyle w:val="Betarp"/>
        <w:ind w:right="-846"/>
        <w:jc w:val="both"/>
        <w:rPr>
          <w:lang w:eastAsia="lt-LT"/>
        </w:rPr>
      </w:pPr>
    </w:p>
    <w:p w:rsidR="00964751" w:rsidRDefault="00964751" w:rsidP="00975A5A">
      <w:pPr>
        <w:pStyle w:val="Betarp"/>
        <w:ind w:right="-846"/>
        <w:jc w:val="both"/>
        <w:rPr>
          <w:b/>
          <w:lang w:eastAsia="lt-LT"/>
        </w:rPr>
      </w:pPr>
    </w:p>
    <w:p w:rsidR="00964751" w:rsidRDefault="00964751" w:rsidP="00975A5A">
      <w:pPr>
        <w:pStyle w:val="Betarp"/>
        <w:ind w:right="-846"/>
        <w:jc w:val="both"/>
        <w:rPr>
          <w:lang w:eastAsia="lt-LT"/>
        </w:rPr>
      </w:pPr>
      <w:r>
        <w:rPr>
          <w:b/>
          <w:lang w:eastAsia="lt-LT"/>
        </w:rPr>
        <w:t xml:space="preserve">Pastaba. </w:t>
      </w:r>
      <w:r>
        <w:rPr>
          <w:lang w:eastAsia="lt-LT"/>
        </w:rPr>
        <w:t>Etikos principų laikymasis privalomas visiems išorės vertinimo grupės nariams.</w:t>
      </w:r>
    </w:p>
    <w:p w:rsidR="00964751" w:rsidRDefault="00964751" w:rsidP="00964751">
      <w:pPr>
        <w:tabs>
          <w:tab w:val="left" w:pos="1560"/>
        </w:tabs>
        <w:jc w:val="both"/>
        <w:rPr>
          <w:color w:val="000000"/>
          <w:lang w:eastAsia="lt-LT"/>
        </w:rPr>
      </w:pPr>
    </w:p>
    <w:p w:rsidR="00964751" w:rsidRDefault="00964751" w:rsidP="00964751">
      <w:pPr>
        <w:tabs>
          <w:tab w:val="left" w:pos="1560"/>
        </w:tabs>
        <w:jc w:val="center"/>
        <w:rPr>
          <w:color w:val="000000"/>
          <w:lang w:eastAsia="lt-LT"/>
        </w:rPr>
      </w:pPr>
      <w:r>
        <w:rPr>
          <w:color w:val="000000"/>
          <w:lang w:eastAsia="lt-LT"/>
        </w:rPr>
        <w:t>________________</w:t>
      </w:r>
    </w:p>
    <w:p w:rsidR="00327AFA" w:rsidRDefault="00327AFA"/>
    <w:sectPr w:rsidR="00327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B4"/>
    <w:rsid w:val="00327AFA"/>
    <w:rsid w:val="00587988"/>
    <w:rsid w:val="00662BA1"/>
    <w:rsid w:val="00735ADE"/>
    <w:rsid w:val="008425C3"/>
    <w:rsid w:val="00964751"/>
    <w:rsid w:val="00975A5A"/>
    <w:rsid w:val="00BC1E96"/>
    <w:rsid w:val="00BC3A6F"/>
    <w:rsid w:val="00CE05B4"/>
    <w:rsid w:val="00F2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4751"/>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25C3"/>
    <w:pPr>
      <w:spacing w:after="0" w:line="240" w:lineRule="auto"/>
    </w:pPr>
    <w:rPr>
      <w:rFonts w:ascii="Times New Roman" w:eastAsia="Times New Roman" w:hAnsi="Times New Roman" w:cs="Times New Roman"/>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64751"/>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25C3"/>
    <w:pPr>
      <w:spacing w:after="0" w:line="240" w:lineRule="auto"/>
    </w:pPr>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Kniazytė</dc:creator>
  <cp:keywords/>
  <dc:description/>
  <cp:lastModifiedBy>Danutė Kniazytė</cp:lastModifiedBy>
  <cp:revision>11</cp:revision>
  <dcterms:created xsi:type="dcterms:W3CDTF">2020-01-21T09:05:00Z</dcterms:created>
  <dcterms:modified xsi:type="dcterms:W3CDTF">2020-01-21T09:16:00Z</dcterms:modified>
</cp:coreProperties>
</file>